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rPr>
          <w:color w:val="000000"/>
          <w:sz w:val="24"/>
          <w:szCs w:val="24"/>
        </w:rPr>
      </w:pPr>
      <w:bookmarkStart w:colFirst="0" w:colLast="0" w:name="_heading=h.gjdgxs" w:id="0"/>
      <w:bookmarkEnd w:id="0"/>
      <w:r w:rsidDel="00000000" w:rsidR="00000000" w:rsidRPr="00000000">
        <w:rPr>
          <w:color w:val="000000"/>
          <w:rtl w:val="0"/>
        </w:rPr>
        <w:t xml:space="preserve">Agenda overleg Yvo Roos en Suzanne Geerlings - DB FSR</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firstLine="0"/>
        <w:rPr>
          <w:b w:val="1"/>
          <w:sz w:val="20"/>
          <w:szCs w:val="20"/>
        </w:rPr>
      </w:pPr>
      <w:r w:rsidDel="00000000" w:rsidR="00000000" w:rsidRPr="00000000">
        <w:rPr>
          <w:sz w:val="20"/>
          <w:szCs w:val="20"/>
          <w:rtl w:val="0"/>
        </w:rPr>
        <w:t xml:space="preserve">Datum: </w:t>
        <w:tab/>
        <w:t xml:space="preserve">24-09-2024</w:t>
        <w:tab/>
        <w:tab/>
        <w:tab/>
        <w:tab/>
        <w:tab/>
        <w:tab/>
        <w:tab/>
        <w:tab/>
        <w:tab/>
        <w:t xml:space="preserve">Locatie: E2-120</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Opening</w:t>
      </w:r>
      <w:r w:rsidDel="00000000" w:rsidR="00000000" w:rsidRPr="00000000">
        <w:rPr>
          <w:sz w:val="20"/>
          <w:szCs w:val="20"/>
          <w:rtl w:val="0"/>
        </w:rPr>
        <w:tab/>
        <w:tab/>
        <w:tab/>
        <w:tab/>
        <w:tab/>
        <w:tab/>
        <w:tab/>
        <w:tab/>
        <w:tab/>
        <w:tab/>
      </w:r>
      <w:r w:rsidDel="00000000" w:rsidR="00000000" w:rsidRPr="00000000">
        <w:rPr>
          <w:i w:val="1"/>
          <w:sz w:val="20"/>
          <w:szCs w:val="20"/>
          <w:rtl w:val="0"/>
        </w:rPr>
        <w:t xml:space="preserve">Om 14:00 uur</w:t>
      </w:r>
      <w:r w:rsidDel="00000000" w:rsidR="00000000" w:rsidRPr="00000000">
        <w:rPr>
          <w:rtl w:val="0"/>
        </w:rPr>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Mededelingen</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Notulen en actielijst</w:t>
      </w:r>
      <w:r w:rsidDel="00000000" w:rsidR="00000000" w:rsidRPr="00000000">
        <w:rPr>
          <w:rtl w:val="0"/>
        </w:rPr>
      </w:r>
    </w:p>
    <w:p w:rsidR="00000000" w:rsidDel="00000000" w:rsidP="00000000" w:rsidRDefault="00000000" w:rsidRPr="00000000" w14:paraId="00000009">
      <w:pPr>
        <w:ind w:firstLine="0"/>
        <w:rPr>
          <w:b w:val="1"/>
          <w:sz w:val="20"/>
          <w:szCs w:val="20"/>
        </w:rPr>
      </w:pPr>
      <w:r w:rsidDel="00000000" w:rsidR="00000000" w:rsidRPr="00000000">
        <w:rPr>
          <w:rtl w:val="0"/>
        </w:rPr>
      </w:r>
    </w:p>
    <w:tbl>
      <w:tblPr>
        <w:tblStyle w:val="Table1"/>
        <w:tblW w:w="10671.653543307084"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7.2178477690286"/>
        <w:gridCol w:w="3557.2178477690286"/>
        <w:gridCol w:w="3557.2178477690286"/>
        <w:tblGridChange w:id="0">
          <w:tblGrid>
            <w:gridCol w:w="3557.2178477690286"/>
            <w:gridCol w:w="3557.2178477690286"/>
            <w:gridCol w:w="3557.217847769028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firstLine="0"/>
              <w:rPr>
                <w:b w:val="1"/>
                <w:sz w:val="20"/>
                <w:szCs w:val="20"/>
              </w:rPr>
            </w:pPr>
            <w:r w:rsidDel="00000000" w:rsidR="00000000" w:rsidRPr="00000000">
              <w:rPr>
                <w:b w:val="1"/>
                <w:sz w:val="20"/>
                <w:szCs w:val="20"/>
                <w:rtl w:val="0"/>
              </w:rPr>
              <w:t xml:space="preserve">Wie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firstLine="0"/>
              <w:rPr>
                <w:b w:val="1"/>
                <w:sz w:val="20"/>
                <w:szCs w:val="20"/>
              </w:rPr>
            </w:pPr>
            <w:r w:rsidDel="00000000" w:rsidR="00000000" w:rsidRPr="00000000">
              <w:rPr>
                <w:b w:val="1"/>
                <w:sz w:val="20"/>
                <w:szCs w:val="20"/>
                <w:rtl w:val="0"/>
              </w:rPr>
              <w:t xml:space="preserve">Wat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firstLine="0"/>
              <w:rPr>
                <w:b w:val="1"/>
                <w:sz w:val="20"/>
                <w:szCs w:val="20"/>
              </w:rPr>
            </w:pPr>
            <w:r w:rsidDel="00000000" w:rsidR="00000000" w:rsidRPr="00000000">
              <w:rPr>
                <w:b w:val="1"/>
                <w:sz w:val="20"/>
                <w:szCs w:val="20"/>
                <w:rtl w:val="0"/>
              </w:rPr>
              <w:t xml:space="preserve">Gedaan?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firstLine="0"/>
              <w:rPr>
                <w:b w:val="1"/>
                <w:sz w:val="20"/>
                <w:szCs w:val="20"/>
              </w:rPr>
            </w:pPr>
            <w:r w:rsidDel="00000000" w:rsidR="00000000" w:rsidRPr="00000000">
              <w:rPr>
                <w:b w:val="1"/>
                <w:sz w:val="20"/>
                <w:szCs w:val="20"/>
                <w:rtl w:val="0"/>
              </w:rPr>
              <w:t xml:space="preserve">Yvo Roos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firstLine="0"/>
              <w:rPr>
                <w:sz w:val="20"/>
                <w:szCs w:val="20"/>
              </w:rPr>
            </w:pPr>
            <w:r w:rsidDel="00000000" w:rsidR="00000000" w:rsidRPr="00000000">
              <w:rPr>
                <w:sz w:val="20"/>
                <w:szCs w:val="20"/>
                <w:rtl w:val="0"/>
              </w:rPr>
              <w:t xml:space="preserve">Gaat NTvG licentie opbrengen tijdens overleg NFU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0" w:firstLine="0"/>
              <w:rPr>
                <w:sz w:val="20"/>
                <w:szCs w:val="20"/>
                <w:u w:val="none"/>
              </w:rPr>
            </w:pPr>
            <w:r w:rsidDel="00000000" w:rsidR="00000000" w:rsidRPr="00000000">
              <w:rPr>
                <w:sz w:val="20"/>
                <w:szCs w:val="20"/>
                <w:rtl w:val="0"/>
              </w:rPr>
              <w:t xml:space="preserve">Gedaan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firstLine="0"/>
              <w:rPr>
                <w:b w:val="1"/>
                <w:sz w:val="20"/>
                <w:szCs w:val="20"/>
              </w:rPr>
            </w:pPr>
            <w:r w:rsidDel="00000000" w:rsidR="00000000" w:rsidRPr="00000000">
              <w:rPr>
                <w:b w:val="1"/>
                <w:sz w:val="20"/>
                <w:szCs w:val="20"/>
                <w:rtl w:val="0"/>
              </w:rPr>
              <w:t xml:space="preserve">Yvo Roos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firstLine="0"/>
              <w:rPr>
                <w:sz w:val="20"/>
                <w:szCs w:val="20"/>
              </w:rPr>
            </w:pPr>
            <w:r w:rsidDel="00000000" w:rsidR="00000000" w:rsidRPr="00000000">
              <w:rPr>
                <w:sz w:val="20"/>
                <w:szCs w:val="20"/>
                <w:rtl w:val="0"/>
              </w:rPr>
              <w:t xml:space="preserve">Bespreeekt carrièrepaden en aanstellingstermijnen in onderwijs intern verder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firstLine="0"/>
              <w:rPr>
                <w:sz w:val="20"/>
                <w:szCs w:val="20"/>
              </w:rPr>
            </w:pPr>
            <w:r w:rsidDel="00000000" w:rsidR="00000000" w:rsidRPr="00000000">
              <w:rPr>
                <w:sz w:val="20"/>
                <w:szCs w:val="20"/>
                <w:rtl w:val="0"/>
              </w:rPr>
              <w:t xml:space="preserve">Gedaan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firstLine="0"/>
              <w:rPr>
                <w:b w:val="1"/>
                <w:sz w:val="20"/>
                <w:szCs w:val="20"/>
              </w:rPr>
            </w:pPr>
            <w:r w:rsidDel="00000000" w:rsidR="00000000" w:rsidRPr="00000000">
              <w:rPr>
                <w:b w:val="1"/>
                <w:sz w:val="20"/>
                <w:szCs w:val="20"/>
                <w:rtl w:val="0"/>
              </w:rPr>
              <w:t xml:space="preserve">Yvo Roos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firstLine="0"/>
              <w:rPr>
                <w:sz w:val="20"/>
                <w:szCs w:val="20"/>
              </w:rPr>
            </w:pPr>
            <w:r w:rsidDel="00000000" w:rsidR="00000000" w:rsidRPr="00000000">
              <w:rPr>
                <w:sz w:val="20"/>
                <w:szCs w:val="20"/>
                <w:rtl w:val="0"/>
              </w:rPr>
              <w:t xml:space="preserve">Vraagt bij HR de status van rond-de-tafel-sessies 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0" w:firstLine="0"/>
              <w:rPr>
                <w:sz w:val="20"/>
                <w:szCs w:val="20"/>
              </w:rPr>
            </w:pPr>
            <w:r w:rsidDel="00000000" w:rsidR="00000000" w:rsidRPr="00000000">
              <w:rPr>
                <w:sz w:val="20"/>
                <w:szCs w:val="20"/>
                <w:rtl w:val="0"/>
              </w:rPr>
              <w:t xml:space="preserve">Gedaan, echter nooit meer iets van gehoord. FSR gaat inventariseren of hier nog behoefte aan 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firstLine="0"/>
              <w:rPr>
                <w:b w:val="1"/>
                <w:sz w:val="20"/>
                <w:szCs w:val="20"/>
              </w:rPr>
            </w:pPr>
            <w:r w:rsidDel="00000000" w:rsidR="00000000" w:rsidRPr="00000000">
              <w:rPr>
                <w:b w:val="1"/>
                <w:sz w:val="20"/>
                <w:szCs w:val="20"/>
                <w:rtl w:val="0"/>
              </w:rPr>
              <w:t xml:space="preserve">Suzanne Geerlings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firstLine="0"/>
              <w:rPr>
                <w:sz w:val="20"/>
                <w:szCs w:val="20"/>
              </w:rPr>
            </w:pPr>
            <w:r w:rsidDel="00000000" w:rsidR="00000000" w:rsidRPr="00000000">
              <w:rPr>
                <w:sz w:val="20"/>
                <w:szCs w:val="20"/>
                <w:rtl w:val="0"/>
              </w:rPr>
              <w:t xml:space="preserve">Bespreekt financiering toneelstuk vanuit NPO-gelden met Theo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0" w:firstLine="0"/>
              <w:rPr>
                <w:sz w:val="20"/>
                <w:szCs w:val="20"/>
                <w:u w:val="none"/>
              </w:rPr>
            </w:pPr>
            <w:r w:rsidDel="00000000" w:rsidR="00000000" w:rsidRPr="00000000">
              <w:rPr>
                <w:sz w:val="20"/>
                <w:szCs w:val="20"/>
                <w:rtl w:val="0"/>
              </w:rPr>
              <w:t xml:space="preserve">Gedaan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firstLine="0"/>
              <w:rPr>
                <w:b w:val="1"/>
                <w:sz w:val="20"/>
                <w:szCs w:val="20"/>
              </w:rPr>
            </w:pPr>
            <w:r w:rsidDel="00000000" w:rsidR="00000000" w:rsidRPr="00000000">
              <w:rPr>
                <w:b w:val="1"/>
                <w:sz w:val="20"/>
                <w:szCs w:val="20"/>
                <w:rtl w:val="0"/>
              </w:rPr>
              <w:t xml:space="preserve">Suzanne Geerlings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firstLine="0"/>
              <w:rPr>
                <w:sz w:val="20"/>
                <w:szCs w:val="20"/>
              </w:rPr>
            </w:pPr>
            <w:r w:rsidDel="00000000" w:rsidR="00000000" w:rsidRPr="00000000">
              <w:rPr>
                <w:sz w:val="20"/>
                <w:szCs w:val="20"/>
                <w:rtl w:val="0"/>
              </w:rPr>
              <w:t xml:space="preserve">Gaat achter "save-the-date" en promotiemateriaal aan voor de volgende opvoering van het toneelstuk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firstLine="0"/>
              <w:rPr>
                <w:sz w:val="20"/>
                <w:szCs w:val="20"/>
                <w:u w:val="none"/>
              </w:rPr>
            </w:pPr>
            <w:r w:rsidDel="00000000" w:rsidR="00000000" w:rsidRPr="00000000">
              <w:rPr>
                <w:sz w:val="20"/>
                <w:szCs w:val="20"/>
                <w:rtl w:val="0"/>
              </w:rPr>
              <w:t xml:space="preserve">Gedaan.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firstLine="0"/>
              <w:rPr>
                <w:b w:val="1"/>
                <w:sz w:val="20"/>
                <w:szCs w:val="20"/>
              </w:rPr>
            </w:pPr>
            <w:r w:rsidDel="00000000" w:rsidR="00000000" w:rsidRPr="00000000">
              <w:rPr>
                <w:b w:val="1"/>
                <w:sz w:val="20"/>
                <w:szCs w:val="20"/>
                <w:rtl w:val="0"/>
              </w:rPr>
              <w:t xml:space="preserve">Suzanne Geerlings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firstLine="0"/>
              <w:rPr>
                <w:sz w:val="20"/>
                <w:szCs w:val="20"/>
              </w:rPr>
            </w:pPr>
            <w:r w:rsidDel="00000000" w:rsidR="00000000" w:rsidRPr="00000000">
              <w:rPr>
                <w:sz w:val="20"/>
                <w:szCs w:val="20"/>
                <w:rtl w:val="0"/>
              </w:rPr>
              <w:t xml:space="preserve">Gaat opnieuw met het MT-bachelor in gesprek over beleid proeftoetsen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0" w:firstLine="0"/>
              <w:rPr>
                <w:sz w:val="20"/>
                <w:szCs w:val="20"/>
                <w:u w:val="none"/>
              </w:rPr>
            </w:pPr>
            <w:r w:rsidDel="00000000" w:rsidR="00000000" w:rsidRPr="00000000">
              <w:rPr>
                <w:sz w:val="20"/>
                <w:szCs w:val="20"/>
                <w:rtl w:val="0"/>
              </w:rPr>
              <w:t xml:space="preserve">Gedaan. FSR gaat zelf in gesprek met Petra Habets over vervolg.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firstLine="0"/>
              <w:rPr>
                <w:sz w:val="20"/>
                <w:szCs w:val="20"/>
              </w:rPr>
            </w:pPr>
            <w:r w:rsidDel="00000000" w:rsidR="00000000" w:rsidRPr="00000000">
              <w:rPr>
                <w:sz w:val="20"/>
                <w:szCs w:val="20"/>
                <w:rtl w:val="0"/>
              </w:rPr>
              <w:t xml:space="preserve">Houdt Yvo Roos op de hoogte over MoFa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firstLine="0"/>
              <w:rPr>
                <w:sz w:val="20"/>
                <w:szCs w:val="20"/>
              </w:rPr>
            </w:pPr>
            <w:r w:rsidDel="00000000" w:rsidR="00000000" w:rsidRPr="00000000">
              <w:rPr>
                <w:sz w:val="20"/>
                <w:szCs w:val="20"/>
                <w:rtl w:val="0"/>
              </w:rPr>
              <w:t xml:space="preserve">Gedaan.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firstLine="0"/>
              <w:rPr>
                <w:sz w:val="20"/>
                <w:szCs w:val="20"/>
              </w:rPr>
            </w:pPr>
            <w:r w:rsidDel="00000000" w:rsidR="00000000" w:rsidRPr="00000000">
              <w:rPr>
                <w:sz w:val="20"/>
                <w:szCs w:val="20"/>
                <w:rtl w:val="0"/>
              </w:rPr>
              <w:t xml:space="preserve">Deelt promotiemateriaal voor toneelstuk indien beschikbaar op sociale mediakanalen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firstLine="0"/>
              <w:rPr>
                <w:sz w:val="20"/>
                <w:szCs w:val="20"/>
              </w:rPr>
            </w:pPr>
            <w:r w:rsidDel="00000000" w:rsidR="00000000" w:rsidRPr="00000000">
              <w:rPr>
                <w:sz w:val="20"/>
                <w:szCs w:val="20"/>
                <w:rtl w:val="0"/>
              </w:rPr>
              <w:t xml:space="preserve">Gedaan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firstLine="0"/>
              <w:rPr>
                <w:sz w:val="20"/>
                <w:szCs w:val="20"/>
              </w:rPr>
            </w:pPr>
            <w:r w:rsidDel="00000000" w:rsidR="00000000" w:rsidRPr="00000000">
              <w:rPr>
                <w:sz w:val="20"/>
                <w:szCs w:val="20"/>
                <w:rtl w:val="0"/>
              </w:rPr>
              <w:t xml:space="preserve">verstuurt update naar hotze over eerder gesprek over studeren met een functiebeperking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firstLine="0"/>
              <w:rPr>
                <w:sz w:val="20"/>
                <w:szCs w:val="20"/>
              </w:rPr>
            </w:pPr>
            <w:r w:rsidDel="00000000" w:rsidR="00000000" w:rsidRPr="00000000">
              <w:rPr>
                <w:sz w:val="20"/>
                <w:szCs w:val="20"/>
                <w:rtl w:val="0"/>
              </w:rPr>
              <w:t xml:space="preserve">Lopend. Er is een TOFFER aangesteld onder de studieadviseurs die individuele gevallen beoordeelt en meedenkt wat mogelijk en wenselijk is. </w:t>
            </w:r>
          </w:p>
        </w:tc>
      </w:tr>
    </w:tbl>
    <w:p w:rsidR="00000000" w:rsidDel="00000000" w:rsidP="00000000" w:rsidRDefault="00000000" w:rsidRPr="00000000" w14:paraId="00000028">
      <w:pPr>
        <w:ind w:firstLine="0"/>
        <w:rPr>
          <w:b w:val="1"/>
          <w:sz w:val="20"/>
          <w:szCs w:val="20"/>
        </w:rPr>
      </w:pPr>
      <w:r w:rsidDel="00000000" w:rsidR="00000000" w:rsidRPr="00000000">
        <w:rPr>
          <w:rtl w:val="0"/>
        </w:rPr>
      </w:r>
    </w:p>
    <w:p w:rsidR="00000000" w:rsidDel="00000000" w:rsidP="00000000" w:rsidRDefault="00000000" w:rsidRPr="00000000" w14:paraId="00000029">
      <w:pPr>
        <w:ind w:firstLine="0"/>
        <w:rPr>
          <w:sz w:val="20"/>
          <w:szCs w:val="20"/>
        </w:rPr>
      </w:pPr>
      <w:r w:rsidDel="00000000" w:rsidR="00000000" w:rsidRPr="00000000">
        <w:rPr>
          <w:sz w:val="20"/>
          <w:szCs w:val="20"/>
          <w:rtl w:val="0"/>
        </w:rPr>
        <w:t xml:space="preserve">Omtrent studeren met een functiebeperking kaart Yvo Roos aan dat het binnen de opleiding Geneeskunde van belang is dat er bij functiebeperkingen op individueel niveau bekeken wordt wat mogelijk en wenselijk is bij het volgen van het onderwijs. Eén van de studieadviseurs is dus aangewezen als TOFFER, die studenten met een functiebeperking individueel kan begeleiden bij het uitzoeken van de benodigdheden om prettig te studeren. </w:t>
      </w:r>
    </w:p>
    <w:p w:rsidR="00000000" w:rsidDel="00000000" w:rsidP="00000000" w:rsidRDefault="00000000" w:rsidRPr="00000000" w14:paraId="0000002A">
      <w:pPr>
        <w:ind w:firstLine="0"/>
        <w:rPr>
          <w:b w:val="1"/>
          <w:sz w:val="20"/>
          <w:szCs w:val="20"/>
        </w:rPr>
      </w:pPr>
      <w:r w:rsidDel="00000000" w:rsidR="00000000" w:rsidRPr="00000000">
        <w:rPr>
          <w:rtl w:val="0"/>
        </w:rPr>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Vaststellen agenda</w:t>
      </w:r>
      <w:r w:rsidDel="00000000" w:rsidR="00000000" w:rsidRPr="00000000">
        <w:rPr>
          <w:rtl w:val="0"/>
        </w:rPr>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b w:val="1"/>
          <w:sz w:val="20"/>
          <w:szCs w:val="20"/>
          <w:u w:val="none"/>
        </w:rPr>
      </w:pPr>
      <w:r w:rsidDel="00000000" w:rsidR="00000000" w:rsidRPr="00000000">
        <w:rPr>
          <w:b w:val="1"/>
          <w:sz w:val="20"/>
          <w:szCs w:val="20"/>
          <w:rtl w:val="0"/>
        </w:rPr>
        <w:t xml:space="preserve">Kennismaking </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i w:val="1"/>
          <w:sz w:val="20"/>
          <w:szCs w:val="20"/>
        </w:rPr>
      </w:pPr>
      <w:r w:rsidDel="00000000" w:rsidR="00000000" w:rsidRPr="00000000">
        <w:rPr>
          <w:i w:val="1"/>
          <w:sz w:val="20"/>
          <w:szCs w:val="20"/>
          <w:rtl w:val="0"/>
        </w:rPr>
        <w:t xml:space="preserve">De nieuwe FSR heeft sinds 3 weken het stokje overgenomen. Wij zouden graag bespreken hoe we het aankomende jaar de samenwerking prettig voort kunnen zetten en wat hierin elkaars verwachtingen zijn.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sz w:val="20"/>
          <w:szCs w:val="20"/>
          <w:rtl w:val="0"/>
        </w:rPr>
        <w:t xml:space="preserve">De FSR heeft reeds kennisgemaakt. De afspraken van het afgelopen jaar worden voortgezet, met de nadrukkelijke vraag vanuit Yvo Roos om laagdrempelig contact te blijven zoeken.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i w:val="1"/>
          <w:sz w:val="20"/>
          <w:szCs w:val="20"/>
        </w:rPr>
      </w:pPr>
      <w:r w:rsidDel="00000000" w:rsidR="00000000" w:rsidRPr="00000000">
        <w:rPr>
          <w:rtl w:val="0"/>
        </w:rPr>
      </w:r>
    </w:p>
    <w:p w:rsidR="00000000" w:rsidDel="00000000" w:rsidP="00000000" w:rsidRDefault="00000000" w:rsidRPr="00000000" w14:paraId="00000031">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Update project MOFA </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 afspraak staat om Yvo Roos op de hoogte te houden van Project MOFA. We zouden dus een korte update willen geven van de huidige status en de planning van de komende tijd.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FSR zal elk overleg een korte update over project MOFA geven, om Yvo Roos op de hoogte te houden. De FSR geeft aan dat het proces prettig verloopt en er stappen vooruit worden gezet. Zo wordt er op dit moment een planning voor de verbouwing besproken en zijn er concrete concept-plannen voor de K0-lokalen en studieplekken. Ook geeft de FSR aan graag dezelfde drie raadsleden naar alle vergaderingen te sturen, zodat er voldoende continuïteit wordt gewaarborgd.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Betrokkenheid FSR bij KKV</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 Kerntakencommissie Kwaliteit en Veiligheid (KKV) zet zich in om binnen het gehele Amsterdam UMC de kwaliteit van processen te evalueren, zo ook van al het onderwijs. Het OT-GEN (Opleidingsteam Geneeskunde) wordt ongeveer twee keer per jaar benaderd om het onderwijs te beoordelen. Hierbij is de vraag ontstaan of de FSR benaderd mag worden om vanuit de studenten het onderwijs te evalueren.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De FSR geeft aan hier graag aan mee te willen werken. Suzanne Geerlings zal de KKV naar hen doorverwijzen indien die hierom vragen.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WVTTK</w:t>
        <w:tab/>
        <w:tab/>
        <w:tab/>
        <w:tab/>
        <w:tab/>
        <w:tab/>
        <w:tab/>
      </w:r>
      <w:r w:rsidDel="00000000" w:rsidR="00000000" w:rsidRPr="00000000">
        <w:rPr>
          <w:rtl w:val="0"/>
        </w:rPr>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Rondvraag</w:t>
      </w:r>
      <w:r w:rsidDel="00000000" w:rsidR="00000000" w:rsidRPr="00000000">
        <w:rPr>
          <w:b w:val="1"/>
          <w:i w:val="1"/>
          <w:sz w:val="20"/>
          <w:szCs w:val="20"/>
          <w:rtl w:val="0"/>
        </w:rPr>
        <w:tab/>
      </w:r>
      <w:r w:rsidDel="00000000" w:rsidR="00000000" w:rsidRPr="00000000">
        <w:rPr>
          <w:rtl w:val="0"/>
        </w:rPr>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Actiepunten</w:t>
        <w:tab/>
        <w:tab/>
        <w:tab/>
        <w:tab/>
        <w:tab/>
        <w:tab/>
        <w:tab/>
        <w:tab/>
        <w:tab/>
        <w:tab/>
        <w:tab/>
        <w:tab/>
      </w:r>
      <w:r w:rsidDel="00000000" w:rsidR="00000000" w:rsidRPr="00000000">
        <w:rPr>
          <w:rtl w:val="0"/>
        </w:rPr>
      </w:r>
    </w:p>
    <w:p w:rsidR="00000000" w:rsidDel="00000000" w:rsidP="00000000" w:rsidRDefault="00000000" w:rsidRPr="00000000" w14:paraId="0000003E">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Einde vergadering</w:t>
        <w:tab/>
        <w:tab/>
      </w:r>
      <w:r w:rsidDel="00000000" w:rsidR="00000000" w:rsidRPr="00000000">
        <w:rPr>
          <w:rFonts w:ascii="Times New Roman" w:cs="Times New Roman" w:eastAsia="Times New Roman" w:hAnsi="Times New Roman"/>
          <w:b w:val="1"/>
          <w:sz w:val="20"/>
          <w:szCs w:val="20"/>
          <w:rtl w:val="0"/>
        </w:rPr>
        <w:tab/>
        <w:tab/>
        <w:tab/>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ind w:firstLine="0"/>
        <w:rPr>
          <w:b w:val="1"/>
          <w:sz w:val="20"/>
          <w:szCs w:val="20"/>
        </w:rPr>
      </w:pPr>
      <w:r w:rsidDel="00000000" w:rsidR="00000000" w:rsidRPr="00000000">
        <w:rPr>
          <w:rtl w:val="0"/>
        </w:rPr>
      </w:r>
    </w:p>
    <w:tbl>
      <w:tblPr>
        <w:tblStyle w:val="Table2"/>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345"/>
        <w:tblGridChange w:id="0">
          <w:tblGrid>
            <w:gridCol w:w="3555"/>
            <w:gridCol w:w="6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firstLine="0"/>
              <w:rPr>
                <w:b w:val="1"/>
                <w:sz w:val="20"/>
                <w:szCs w:val="20"/>
              </w:rPr>
            </w:pPr>
            <w:r w:rsidDel="00000000" w:rsidR="00000000" w:rsidRPr="00000000">
              <w:rPr>
                <w:b w:val="1"/>
                <w:sz w:val="20"/>
                <w:szCs w:val="20"/>
                <w:rtl w:val="0"/>
              </w:rPr>
              <w:t xml:space="preserve">Wie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firstLine="0"/>
              <w:rPr>
                <w:b w:val="1"/>
                <w:sz w:val="20"/>
                <w:szCs w:val="20"/>
              </w:rPr>
            </w:pPr>
            <w:r w:rsidDel="00000000" w:rsidR="00000000" w:rsidRPr="00000000">
              <w:rPr>
                <w:b w:val="1"/>
                <w:sz w:val="20"/>
                <w:szCs w:val="20"/>
                <w:rtl w:val="0"/>
              </w:rPr>
              <w:t xml:space="preserve">Wat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firstLine="0"/>
              <w:rPr>
                <w:b w:val="1"/>
                <w:sz w:val="20"/>
                <w:szCs w:val="20"/>
              </w:rPr>
            </w:pPr>
            <w:r w:rsidDel="00000000" w:rsidR="00000000" w:rsidRPr="00000000">
              <w:rPr>
                <w:b w:val="1"/>
                <w:sz w:val="20"/>
                <w:szCs w:val="20"/>
                <w:rtl w:val="0"/>
              </w:rPr>
              <w:t xml:space="preserve">Suzanne Geerlings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sz w:val="20"/>
                <w:szCs w:val="20"/>
              </w:rPr>
            </w:pPr>
            <w:r w:rsidDel="00000000" w:rsidR="00000000" w:rsidRPr="00000000">
              <w:rPr>
                <w:sz w:val="20"/>
                <w:szCs w:val="20"/>
                <w:rtl w:val="0"/>
              </w:rPr>
              <w:t xml:space="preserve">Neemt contact op met Lieuwe Kool om na te vragen of de NTvG voor een betaalbare prijs vanuit de Medische Bibliotheek beschikbaar kan worden gesteld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firstLine="0"/>
              <w:rPr>
                <w:b w:val="1"/>
                <w:sz w:val="20"/>
                <w:szCs w:val="20"/>
              </w:rPr>
            </w:pPr>
            <w:r w:rsidDel="00000000" w:rsidR="00000000" w:rsidRPr="00000000">
              <w:rPr>
                <w:b w:val="1"/>
                <w:sz w:val="20"/>
                <w:szCs w:val="20"/>
                <w:rtl w:val="0"/>
              </w:rPr>
              <w:t xml:space="preserve">Suzanne Geerlings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firstLine="0"/>
              <w:rPr>
                <w:sz w:val="20"/>
                <w:szCs w:val="20"/>
              </w:rPr>
            </w:pPr>
            <w:r w:rsidDel="00000000" w:rsidR="00000000" w:rsidRPr="00000000">
              <w:rPr>
                <w:sz w:val="20"/>
                <w:szCs w:val="20"/>
                <w:rtl w:val="0"/>
              </w:rPr>
              <w:t xml:space="preserve">Gaat met de vice-decaan van de faculteit Geneeskunde van de VU in gesprek om de aanstellingstermijnen van werknemers binnen het onderwijs aan te passen naar 2 termijnen van 5 jaar.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firstLine="0"/>
              <w:rPr>
                <w:sz w:val="20"/>
                <w:szCs w:val="20"/>
              </w:rPr>
            </w:pPr>
            <w:r w:rsidDel="00000000" w:rsidR="00000000" w:rsidRPr="00000000">
              <w:rPr>
                <w:sz w:val="20"/>
                <w:szCs w:val="20"/>
                <w:rtl w:val="0"/>
              </w:rPr>
              <w:t xml:space="preserve">Bespreekt onderling of er behoefte is aan rond-de-tafel-gesprekken over het Israël-Palestina conflict en/of over de huidige richtlijnen voor samenwerking met derden vanuit het Amsterdam UMC. </w:t>
            </w:r>
          </w:p>
        </w:tc>
      </w:tr>
    </w:tbl>
    <w:p w:rsidR="00000000" w:rsidDel="00000000" w:rsidP="00000000" w:rsidRDefault="00000000" w:rsidRPr="00000000" w14:paraId="00000049">
      <w:pPr>
        <w:ind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pageBreakBefore w:val="0"/>
        <w:spacing w:line="259" w:lineRule="auto"/>
        <w:ind w:firstLine="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1104900</wp:posOffset>
            </wp:positionV>
            <wp:extent cx="4873988" cy="624522"/>
            <wp:effectExtent b="0" l="0" r="0" t="0"/>
            <wp:wrapSquare wrapText="bothSides" distB="114300" distT="114300" distL="114300" distR="114300"/>
            <wp:docPr id="5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873988" cy="624522"/>
                    </a:xfrm>
                    <a:prstGeom prst="rect"/>
                    <a:ln/>
                  </pic:spPr>
                </pic:pic>
              </a:graphicData>
            </a:graphic>
          </wp:anchor>
        </w:drawing>
      </w:r>
    </w:p>
    <w:sectPr>
      <w:headerReference r:id="rId8" w:type="default"/>
      <w:headerReference r:id="rId9" w:type="first"/>
      <w:footerReference r:id="rId10" w:type="default"/>
      <w:footerReference r:id="rId11" w:type="first"/>
      <w:pgSz w:h="16838" w:w="11906" w:orient="portrait"/>
      <w:pgMar w:bottom="566.9291338582677" w:top="566.9291338582677" w:left="566.9291338582677" w:right="566.92913385826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jc w:val="right"/>
      <w:rPr>
        <w:rFonts w:ascii="Cambria" w:cs="Cambria" w:eastAsia="Cambria" w:hAnsi="Cambria"/>
        <w:b w:val="0"/>
        <w:sz w:val="19"/>
        <w:szCs w:val="19"/>
      </w:rPr>
    </w:pPr>
    <w:r w:rsidDel="00000000" w:rsidR="00000000" w:rsidRPr="00000000">
      <w:rPr>
        <w:rFonts w:ascii="Cambria" w:cs="Cambria" w:eastAsia="Cambria" w:hAnsi="Cambria"/>
        <w:b w:val="0"/>
        <w:sz w:val="19"/>
        <w:szCs w:val="19"/>
      </w:rPr>
      <w:drawing>
        <wp:inline distB="0" distT="0" distL="114935" distR="114935">
          <wp:extent cx="360680" cy="355600"/>
          <wp:effectExtent b="0" l="0" r="0" t="0"/>
          <wp:docPr id="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0680" cy="355600"/>
                  </a:xfrm>
                  <a:prstGeom prst="rect"/>
                  <a:ln/>
                </pic:spPr>
              </pic:pic>
            </a:graphicData>
          </a:graphic>
        </wp:inline>
      </w:drawing>
    </w:r>
    <w:r w:rsidDel="00000000" w:rsidR="00000000" w:rsidRPr="00000000">
      <w:rPr>
        <w:rFonts w:ascii="Cambria" w:cs="Cambria" w:eastAsia="Cambria" w:hAnsi="Cambria"/>
        <w:b w:val="0"/>
        <w:sz w:val="19"/>
        <w:szCs w:val="19"/>
        <w:rtl w:val="0"/>
      </w:rPr>
      <w:t xml:space="preserve">Pagina </w:t>
    </w:r>
    <w:r w:rsidDel="00000000" w:rsidR="00000000" w:rsidRPr="00000000">
      <w:rPr>
        <w:rFonts w:ascii="Cambria" w:cs="Cambria" w:eastAsia="Cambria" w:hAnsi="Cambria"/>
        <w:b w:val="0"/>
        <w:sz w:val="19"/>
        <w:szCs w:val="19"/>
      </w:rPr>
      <w:fldChar w:fldCharType="begin"/>
      <w:instrText xml:space="preserve">PAGE</w:instrText>
      <w:fldChar w:fldCharType="separate"/>
      <w:fldChar w:fldCharType="end"/>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1"/>
        <w:color w:val="007c32"/>
        <w:sz w:val="19"/>
        <w:szCs w:val="19"/>
        <w:rtl w:val="0"/>
      </w:rPr>
      <w:t xml:space="preserve">~</w:t>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0"/>
        <w:sz w:val="19"/>
        <w:szCs w:val="19"/>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rPr/>
    </w:pPr>
    <w:r w:rsidDel="00000000" w:rsidR="00000000" w:rsidRPr="00000000">
      <w:rPr>
        <w:rFonts w:ascii="Cambria" w:cs="Cambria" w:eastAsia="Cambria" w:hAnsi="Cambria"/>
        <w:b w:val="0"/>
        <w:sz w:val="19"/>
        <w:szCs w:val="19"/>
        <w:rtl w:val="0"/>
      </w:rPr>
      <w:tab/>
      <w:tab/>
    </w:r>
    <w:r w:rsidDel="00000000" w:rsidR="00000000" w:rsidRPr="00000000">
      <w:rPr>
        <w:rtl w:val="0"/>
      </w:rPr>
      <w:t xml:space="preserve">                                                                                                               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b w:val="1"/>
        <w:color w:val="007c32"/>
        <w:rtl w:val="0"/>
      </w:rPr>
      <w:t xml:space="preserve">~</w:t>
    </w:r>
    <w:r w:rsidDel="00000000" w:rsidR="00000000" w:rsidRPr="00000000">
      <w:rPr>
        <w:rtl w:val="0"/>
      </w:rPr>
      <w:t xml:space="preserv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leader="none" w:pos="6400"/>
      </w:tabs>
      <w:spacing w:after="0" w:before="822" w:line="240" w:lineRule="auto"/>
      <w:ind w:right="1701" w:firstLine="0"/>
      <w:jc w:val="right"/>
      <w:rPr>
        <w:rFonts w:ascii="Cambria" w:cs="Cambria" w:eastAsia="Cambria" w:hAnsi="Cambria"/>
        <w:b w:val="0"/>
        <w:color w:val="007c32"/>
        <w:sz w:val="14"/>
        <w:szCs w:val="14"/>
      </w:rPr>
    </w:pPr>
    <w:r w:rsidDel="00000000" w:rsidR="00000000" w:rsidRPr="00000000">
      <w:rPr>
        <w:rFonts w:ascii="Cambria" w:cs="Cambria" w:eastAsia="Cambria" w:hAnsi="Cambria"/>
        <w:b w:val="0"/>
        <w:sz w:val="14"/>
        <w:szCs w:val="14"/>
      </w:rPr>
      <mc:AlternateContent>
        <mc:Choice Requires="wpg">
          <w:drawing>
            <wp:inline distB="0" distT="0" distL="114300" distR="114300">
              <wp:extent cx="6556375" cy="130175"/>
              <wp:effectExtent b="0" l="0" r="0" t="0"/>
              <wp:docPr id="51" name=""/>
              <a:graphic>
                <a:graphicData uri="http://schemas.microsoft.com/office/word/2010/wordprocessingShape">
                  <wps:wsp>
                    <wps:cNvSpPr/>
                    <wps:cNvPr id="3" name="Shape 3"/>
                    <wps:spPr>
                      <a:xfrm>
                        <a:off x="2100515" y="3753013"/>
                        <a:ext cx="6490970" cy="53975"/>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556375" cy="130175"/>
              <wp:effectExtent b="0" l="0" r="0" t="0"/>
              <wp:docPr id="5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556375" cy="130175"/>
                      </a:xfrm>
                      <a:prstGeom prst="rect"/>
                      <a:ln/>
                    </pic:spPr>
                  </pic:pic>
                </a:graphicData>
              </a:graphic>
            </wp:inline>
          </w:drawing>
        </mc:Fallback>
      </mc:AlternateContent>
    </w:r>
    <w:r w:rsidDel="00000000" w:rsidR="00000000" w:rsidRPr="00000000">
      <w:rPr>
        <w:rFonts w:ascii="Cambria" w:cs="Cambria" w:eastAsia="Cambria" w:hAnsi="Cambria"/>
        <w:b w:val="0"/>
        <w:color w:val="007c32"/>
        <w:sz w:val="14"/>
        <w:szCs w:val="14"/>
        <w:rtl w:val="0"/>
      </w:rPr>
      <w:tab/>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leader="none" w:pos="6400"/>
      </w:tabs>
      <w:spacing w:after="0" w:before="0" w:line="240" w:lineRule="auto"/>
      <w:ind w:right="1701"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822" w:line="240" w:lineRule="auto"/>
      <w:ind w:right="1701" w:firstLine="0"/>
      <w:jc w:val="right"/>
      <w:rPr/>
    </w:pPr>
    <w:r w:rsidDel="00000000" w:rsidR="00000000" w:rsidRPr="00000000">
      <w:rPr>
        <w:rFonts w:ascii="Cambria" w:cs="Cambria" w:eastAsia="Cambria" w:hAnsi="Cambria"/>
        <w:b w:val="0"/>
        <w:sz w:val="14"/>
        <w:szCs w:val="14"/>
      </w:rPr>
      <w:drawing>
        <wp:inline distB="180340" distT="0" distL="114300" distR="114300">
          <wp:extent cx="3366135" cy="800735"/>
          <wp:effectExtent b="0" l="0" r="0" t="0"/>
          <wp:docPr descr="Macintosh HD:Users:Bas:Dropbox:Werk:Klanten:Studentenraad:SR Templates (Working):01 Algemene bestanden:01 Logos:Beeld- en tekstmerk (horizontaal):Beeld- en woordmerk (horizontaal)-08.png" id="55" name="image3.png"/>
          <a:graphic>
            <a:graphicData uri="http://schemas.openxmlformats.org/drawingml/2006/picture">
              <pic:pic>
                <pic:nvPicPr>
                  <pic:cNvPr descr="Macintosh HD:Users:Bas:Dropbox:Werk:Klanten:Studentenraad:SR Templates (Working):01 Algemene bestanden:01 Logos:Beeld- en tekstmerk (horizontaal):Beeld- en woordmerk (horizontaal)-08.png" id="0" name="image3.png"/>
                  <pic:cNvPicPr preferRelativeResize="0"/>
                </pic:nvPicPr>
                <pic:blipFill>
                  <a:blip r:embed="rId1"/>
                  <a:srcRect b="0" l="0" r="0" t="0"/>
                  <a:stretch>
                    <a:fillRect/>
                  </a:stretch>
                </pic:blipFill>
                <pic:spPr>
                  <a:xfrm>
                    <a:off x="0" y="0"/>
                    <a:ext cx="3366135" cy="800735"/>
                  </a:xfrm>
                  <a:prstGeom prst="rect"/>
                  <a:ln/>
                </pic:spPr>
              </pic:pic>
            </a:graphicData>
          </a:graphic>
        </wp:inline>
      </w:drawing>
    </w:r>
    <w:r w:rsidDel="00000000" w:rsidR="00000000" w:rsidRPr="00000000">
      <w:rPr>
        <w:rFonts w:ascii="Cambria" w:cs="Cambria" w:eastAsia="Cambria" w:hAnsi="Cambria"/>
        <w:b w:val="0"/>
        <w:sz w:val="14"/>
        <w:szCs w:val="14"/>
      </w:rPr>
      <mc:AlternateContent>
        <mc:Choice Requires="wpg">
          <w:drawing>
            <wp:inline distB="0" distT="0" distL="114300" distR="114300">
              <wp:extent cx="2238375" cy="998919"/>
              <wp:effectExtent b="0" l="0" r="0" t="0"/>
              <wp:docPr id="50" name=""/>
              <a:graphic>
                <a:graphicData uri="http://schemas.microsoft.com/office/word/2010/wordprocessingShape">
                  <wps:wsp>
                    <wps:cNvSpPr/>
                    <wps:cNvPr id="2" name="Shape 2"/>
                    <wps:spPr>
                      <a:xfrm>
                        <a:off x="4262690" y="3314545"/>
                        <a:ext cx="2166620" cy="930910"/>
                      </a:xfrm>
                      <a:prstGeom prst="rect">
                        <a:avLst/>
                      </a:prstGeom>
                      <a:noFill/>
                      <a:ln>
                        <a:noFill/>
                      </a:ln>
                    </wps:spPr>
                    <wps:txbx>
                      <w:txbxContent>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t xml:space="preserve">Meibergdreef 15</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1105 AZ Amsterdam</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(020) 56 68 666</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studentenraad@amsterdamumc.nl</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studentenraad.nl/geneeskunde</w:t>
                          </w:r>
                        </w:p>
                      </w:txbxContent>
                    </wps:txbx>
                    <wps:bodyPr anchorCtr="0" anchor="t" bIns="91425" lIns="91425" spcFirstLastPara="1" rIns="91425" wrap="square" tIns="91425">
                      <a:noAutofit/>
                    </wps:bodyPr>
                  </wps:wsp>
                </a:graphicData>
              </a:graphic>
            </wp:inline>
          </w:drawing>
        </mc:Choice>
        <mc:Fallback>
          <w:drawing>
            <wp:inline distB="0" distT="0" distL="114300" distR="114300">
              <wp:extent cx="2238375" cy="998919"/>
              <wp:effectExtent b="0" l="0" r="0" t="0"/>
              <wp:docPr id="5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238375" cy="998919"/>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2619375" cy="320675"/>
              <wp:effectExtent b="0" l="0" r="0" t="0"/>
              <wp:docPr id="53" name=""/>
              <a:graphic>
                <a:graphicData uri="http://schemas.microsoft.com/office/word/2010/wordprocessingShape">
                  <wps:wsp>
                    <wps:cNvSpPr/>
                    <wps:cNvPr id="5" name="Shape 5"/>
                    <wps:spPr>
                      <a:xfrm>
                        <a:off x="4073460" y="3653000"/>
                        <a:ext cx="254508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619375" cy="320675"/>
              <wp:effectExtent b="0" l="0" r="0" t="0"/>
              <wp:docPr id="5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619375" cy="320675"/>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5578475" cy="155575"/>
              <wp:effectExtent b="0" l="0" r="0" t="0"/>
              <wp:docPr id="52" name=""/>
              <a:graphic>
                <a:graphicData uri="http://schemas.microsoft.com/office/word/2010/wordprocessingShape">
                  <wps:wsp>
                    <wps:cNvSpPr/>
                    <wps:cNvPr id="4" name="Shape 4"/>
                    <wps:spPr>
                      <a:xfrm>
                        <a:off x="2592005" y="3734915"/>
                        <a:ext cx="5507990" cy="90170"/>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578475" cy="155575"/>
              <wp:effectExtent b="0" l="0" r="0" t="0"/>
              <wp:docPr id="5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5578475" cy="15557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Arial" w:cs="Arial" w:eastAsia="Arial" w:hAnsi="Arial"/>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19"/>
        <w:szCs w:val="19"/>
        <w:lang w:val="nl"/>
      </w:rPr>
    </w:rPrDefault>
    <w:pPrDefault>
      <w:pPr>
        <w:spacing w:line="300" w:lineRule="auto"/>
        <w:ind w:firstLine="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ARkr6BNpfV10XhExd0VDiXtA==">CgMxLjAyCGguZ2pkZ3hzOAByITFkQ1gzOVBVLWhoX1hYb0REYVBoZTk5SVNWRkRLQWNKTA==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