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color w:val="000000"/>
          <w:sz w:val="24"/>
          <w:szCs w:val="24"/>
        </w:rPr>
      </w:pPr>
      <w:bookmarkStart w:colFirst="0" w:colLast="0" w:name="_heading=h.gjdgxs" w:id="0"/>
      <w:bookmarkEnd w:id="0"/>
      <w:r w:rsidDel="00000000" w:rsidR="00000000" w:rsidRPr="00000000">
        <w:rPr>
          <w:color w:val="000000"/>
          <w:rtl w:val="0"/>
        </w:rPr>
        <w:t xml:space="preserve">Agenda overleg Yvo Roos en Suzanne Geerlings - DB FSR</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b w:val="1"/>
          <w:sz w:val="20"/>
          <w:szCs w:val="20"/>
        </w:rPr>
      </w:pPr>
      <w:r w:rsidDel="00000000" w:rsidR="00000000" w:rsidRPr="00000000">
        <w:rPr>
          <w:sz w:val="20"/>
          <w:szCs w:val="20"/>
          <w:rtl w:val="0"/>
        </w:rPr>
        <w:t xml:space="preserve">Datum: </w:t>
        <w:tab/>
        <w:t xml:space="preserve">17-03-2025</w:t>
        <w:tab/>
        <w:tab/>
        <w:tab/>
        <w:tab/>
        <w:tab/>
        <w:tab/>
        <w:tab/>
        <w:tab/>
        <w:t xml:space="preserve">Locatie: E2-120</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6">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Opening</w:t>
      </w:r>
      <w:r w:rsidDel="00000000" w:rsidR="00000000" w:rsidRPr="00000000">
        <w:rPr>
          <w:sz w:val="20"/>
          <w:szCs w:val="20"/>
          <w:rtl w:val="0"/>
        </w:rPr>
        <w:tab/>
        <w:tab/>
        <w:tab/>
        <w:tab/>
        <w:tab/>
        <w:tab/>
        <w:tab/>
        <w:tab/>
        <w:tab/>
        <w:tab/>
      </w:r>
      <w:r w:rsidDel="00000000" w:rsidR="00000000" w:rsidRPr="00000000">
        <w:rPr>
          <w:i w:val="1"/>
          <w:sz w:val="20"/>
          <w:szCs w:val="20"/>
          <w:rtl w:val="0"/>
        </w:rPr>
        <w:t xml:space="preserve">Om 12:00 uur</w:t>
      </w:r>
      <w:r w:rsidDel="00000000" w:rsidR="00000000" w:rsidRPr="00000000">
        <w:rPr>
          <w:rtl w:val="0"/>
        </w:rPr>
      </w:r>
    </w:p>
    <w:p w:rsidR="00000000" w:rsidDel="00000000" w:rsidP="00000000" w:rsidRDefault="00000000" w:rsidRPr="00000000" w14:paraId="00000007">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Mededelingen</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hanging="360"/>
        <w:rPr>
          <w:sz w:val="20"/>
          <w:szCs w:val="20"/>
          <w:u w:val="none"/>
        </w:rPr>
      </w:pPr>
      <w:r w:rsidDel="00000000" w:rsidR="00000000" w:rsidRPr="00000000">
        <w:rPr>
          <w:sz w:val="20"/>
          <w:szCs w:val="20"/>
          <w:rtl w:val="0"/>
        </w:rPr>
        <w:t xml:space="preserve">Vanuit de UvA is besloten dat er geen stage-uitwisselingen meer zijn met de Israëlische Hebrew-universiteit. Yvo geeft aan al reacties van medewerkers binnen het Amsterdam UMC te hebben gehad en vertelt goed contact te hebben met alle bezorgde partijen. Yvo deelt mede dat er momenteel geen sprake is van samenwerkingen binnen het Amsterdam UMC met deze Universiteit en dus dat er vooralsnog geen directe impact is op de studenten. Indien er toch iets opspeelt wat de studenten beïnvloedt zal dit besproken worden. </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hanging="360"/>
        <w:rPr>
          <w:sz w:val="20"/>
          <w:szCs w:val="20"/>
          <w:u w:val="none"/>
        </w:rPr>
      </w:pPr>
      <w:r w:rsidDel="00000000" w:rsidR="00000000" w:rsidRPr="00000000">
        <w:rPr>
          <w:sz w:val="20"/>
          <w:szCs w:val="20"/>
          <w:rtl w:val="0"/>
        </w:rPr>
        <w:t xml:space="preserve">Het E-Health Living and Learning Lab (ELLLA) zou wellicht een vaste locatie binnen locatie VUMC zoeken. Dit bleek enkel het onderzoekscomponent van het ELLLA te betreffen. Vooralsnog lijkt het ELLLA geheel binnen locatie AMC geplaatst te worden. Echter moet er nog altijd voldoende financiering en een gepast lokaal gevonden worden. Suzanne Geerlings heeft dit opgepakt.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300" w:lineRule="auto"/>
        <w:ind w:left="720" w:firstLine="0"/>
        <w:rPr>
          <w:sz w:val="20"/>
          <w:szCs w:val="20"/>
        </w:rPr>
      </w:pPr>
      <w:r w:rsidDel="00000000" w:rsidR="00000000" w:rsidRPr="00000000">
        <w:rPr>
          <w:rtl w:val="0"/>
        </w:rPr>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Notulen en actielijst</w:t>
      </w:r>
      <w:r w:rsidDel="00000000" w:rsidR="00000000" w:rsidRPr="00000000">
        <w:rPr>
          <w:rtl w:val="0"/>
        </w:rPr>
      </w:r>
    </w:p>
    <w:p w:rsidR="00000000" w:rsidDel="00000000" w:rsidP="00000000" w:rsidRDefault="00000000" w:rsidRPr="00000000" w14:paraId="0000000C">
      <w:pPr>
        <w:ind w:left="567" w:firstLine="0"/>
        <w:rPr>
          <w:b w:val="1"/>
          <w:sz w:val="20"/>
          <w:szCs w:val="20"/>
        </w:rPr>
      </w:pPr>
      <w:r w:rsidDel="00000000" w:rsidR="00000000" w:rsidRPr="00000000">
        <w:rPr>
          <w:rtl w:val="0"/>
        </w:rPr>
      </w:r>
    </w:p>
    <w:sdt>
      <w:sdtPr>
        <w:lock w:val="contentLocked"/>
        <w:tag w:val="goog_rdk_0"/>
      </w:sdtPr>
      <w:sdtContent>
        <w:tbl>
          <w:tblPr>
            <w:tblStyle w:val="Table1"/>
            <w:tblW w:w="10185.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5385"/>
            <w:gridCol w:w="3645"/>
            <w:tblGridChange w:id="0">
              <w:tblGrid>
                <w:gridCol w:w="1155"/>
                <w:gridCol w:w="5385"/>
                <w:gridCol w:w="3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firstLine="0"/>
                  <w:rPr>
                    <w:b w:val="1"/>
                    <w:sz w:val="20"/>
                    <w:szCs w:val="20"/>
                  </w:rPr>
                </w:pPr>
                <w:r w:rsidDel="00000000" w:rsidR="00000000" w:rsidRPr="00000000">
                  <w:rPr>
                    <w:b w:val="1"/>
                    <w:sz w:val="20"/>
                    <w:szCs w:val="20"/>
                    <w:rtl w:val="0"/>
                  </w:rPr>
                  <w:t xml:space="preserve">Wie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ind w:firstLine="0"/>
                  <w:rPr>
                    <w:b w:val="1"/>
                    <w:sz w:val="20"/>
                    <w:szCs w:val="20"/>
                  </w:rPr>
                </w:pPr>
                <w:r w:rsidDel="00000000" w:rsidR="00000000" w:rsidRPr="00000000">
                  <w:rPr>
                    <w:b w:val="1"/>
                    <w:sz w:val="20"/>
                    <w:szCs w:val="20"/>
                    <w:rtl w:val="0"/>
                  </w:rPr>
                  <w:t xml:space="preserve">Wat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firstLine="0"/>
                  <w:rPr>
                    <w:b w:val="1"/>
                    <w:sz w:val="20"/>
                    <w:szCs w:val="20"/>
                  </w:rPr>
                </w:pPr>
                <w:r w:rsidDel="00000000" w:rsidR="00000000" w:rsidRPr="00000000">
                  <w:rPr>
                    <w:b w:val="1"/>
                    <w:sz w:val="20"/>
                    <w:szCs w:val="20"/>
                    <w:rtl w:val="0"/>
                  </w:rPr>
                  <w:t xml:space="preserve">Status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firstLine="0"/>
                  <w:rPr>
                    <w:b w:val="1"/>
                    <w:sz w:val="20"/>
                    <w:szCs w:val="20"/>
                  </w:rPr>
                </w:pPr>
                <w:r w:rsidDel="00000000" w:rsidR="00000000" w:rsidRPr="00000000">
                  <w:rPr>
                    <w:b w:val="1"/>
                    <w:sz w:val="20"/>
                    <w:szCs w:val="20"/>
                    <w:rtl w:val="0"/>
                  </w:rPr>
                  <w:t xml:space="preserve">Suzanne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firstLine="0"/>
                  <w:rPr>
                    <w:sz w:val="20"/>
                    <w:szCs w:val="20"/>
                  </w:rPr>
                </w:pPr>
                <w:r w:rsidDel="00000000" w:rsidR="00000000" w:rsidRPr="00000000">
                  <w:rPr>
                    <w:sz w:val="20"/>
                    <w:szCs w:val="20"/>
                    <w:rtl w:val="0"/>
                  </w:rPr>
                  <w:t xml:space="preserve">Contact opnemen met de persoon achter het ELLLA om het vinden van een locatie te bespreken.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firstLine="0"/>
                  <w:rPr>
                    <w:sz w:val="20"/>
                    <w:szCs w:val="20"/>
                  </w:rPr>
                </w:pPr>
                <w:r w:rsidDel="00000000" w:rsidR="00000000" w:rsidRPr="00000000">
                  <w:rPr>
                    <w:sz w:val="20"/>
                    <w:szCs w:val="20"/>
                    <w:rtl w:val="0"/>
                  </w:rPr>
                  <w:t xml:space="preserve">Gedaan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‘Hot moments’ bespreken.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Ongedaan</w:t>
                </w:r>
              </w:p>
            </w:tc>
          </w:tr>
        </w:tbl>
      </w:sdtContent>
    </w:sdt>
    <w:p w:rsidR="00000000" w:rsidDel="00000000" w:rsidP="00000000" w:rsidRDefault="00000000" w:rsidRPr="00000000" w14:paraId="00000016">
      <w:pPr>
        <w:ind w:left="567" w:firstLine="0"/>
        <w:rPr>
          <w:b w:val="1"/>
          <w:sz w:val="20"/>
          <w:szCs w:val="20"/>
        </w:rPr>
      </w:pPr>
      <w:r w:rsidDel="00000000" w:rsidR="00000000" w:rsidRPr="00000000">
        <w:rPr>
          <w:rtl w:val="0"/>
        </w:rPr>
      </w:r>
    </w:p>
    <w:p w:rsidR="00000000" w:rsidDel="00000000" w:rsidP="00000000" w:rsidRDefault="00000000" w:rsidRPr="00000000" w14:paraId="00000017">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Vaststellen agenda</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De agenda is ongewijzigd vastgesteld.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300" w:lineRule="auto"/>
        <w:ind w:firstLine="0"/>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sz w:val="20"/>
          <w:szCs w:val="20"/>
        </w:rPr>
      </w:pPr>
      <w:r w:rsidDel="00000000" w:rsidR="00000000" w:rsidRPr="00000000">
        <w:rPr>
          <w:b w:val="1"/>
          <w:sz w:val="20"/>
          <w:szCs w:val="20"/>
          <w:rtl w:val="0"/>
        </w:rPr>
        <w:t xml:space="preserve">Update Project MoFa</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300" w:lineRule="auto"/>
        <w:ind w:left="0" w:firstLine="0"/>
        <w:rPr>
          <w:sz w:val="20"/>
          <w:szCs w:val="20"/>
        </w:rPr>
      </w:pPr>
      <w:r w:rsidDel="00000000" w:rsidR="00000000" w:rsidRPr="00000000">
        <w:rPr>
          <w:sz w:val="20"/>
          <w:szCs w:val="20"/>
          <w:rtl w:val="0"/>
        </w:rPr>
        <w:t xml:space="preserve">Wisse geeft een update vanuit project MoFa (Modernisering van de Faculteit). Hier zijn de ontwikkelingen rondom het project en het tijdspad besproken. Vooralsnog lijkt een groot deel van het project voor het volgende academische jaar afgerond te zijn.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300" w:lineRule="auto"/>
        <w:ind w:left="0" w:firstLine="0"/>
        <w:rPr>
          <w:sz w:val="20"/>
          <w:szCs w:val="20"/>
        </w:rPr>
      </w:pPr>
      <w:r w:rsidDel="00000000" w:rsidR="00000000" w:rsidRPr="00000000">
        <w:rPr>
          <w:sz w:val="20"/>
          <w:szCs w:val="20"/>
          <w:rtl w:val="0"/>
        </w:rPr>
        <w:t xml:space="preserve">Vanuit Yvo Roos werd aangekaart dat er in het Amsterdam UMC momenteel een volledige bouwstop is, maar dat project MoFa en de verbouwing van de Epsteinbar hier uitzonderingen op vormen. </w:t>
      </w:r>
    </w:p>
    <w:p w:rsidR="00000000" w:rsidDel="00000000" w:rsidP="00000000" w:rsidRDefault="00000000" w:rsidRPr="00000000" w14:paraId="0000001D">
      <w:pPr>
        <w:ind w:left="567"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numPr>
          <w:ilvl w:val="0"/>
          <w:numId w:val="2"/>
        </w:numPr>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Terugblik incident Activistenpartij </w:t>
      </w:r>
    </w:p>
    <w:p w:rsidR="00000000" w:rsidDel="00000000" w:rsidP="00000000" w:rsidRDefault="00000000" w:rsidRPr="00000000" w14:paraId="0000001F">
      <w:pPr>
        <w:ind w:left="56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Naar aanleiding van een incident tussen de afdeling communicatie en de Activistenpartij, waarbij de Activistenpartij is verzocht het terrein van het Amsterdam UMC te verlaten, is er contact geweest tussen Yvo Roos en de Activistenpartij. Yvo Roos geeft aan dat de verschillende uiteenzettingen van de gebeurtenissen die hij gekregen heeft, elkaar tegenspreken. Het is dan ook niet te achterhalen wat er precies gebeurd is. De FSR geeft aan dat verder contact over het incident via de decaan kan verlopen en dat haar rol hierbij is afgerond. Wel zal de FSR zich richten op het voorkomen van een dergelijk incident tijdens een volgend moment waarbij partijen van buiten de faculteit worden uitgenodigd hier campagne te voeren. </w:t>
      </w:r>
      <w:r w:rsidDel="00000000" w:rsidR="00000000" w:rsidRPr="00000000">
        <w:rPr>
          <w:rtl w:val="0"/>
        </w:rPr>
      </w:r>
    </w:p>
    <w:p w:rsidR="00000000" w:rsidDel="00000000" w:rsidP="00000000" w:rsidRDefault="00000000" w:rsidRPr="00000000" w14:paraId="00000020">
      <w:pPr>
        <w:ind w:left="567"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numPr>
          <w:ilvl w:val="0"/>
          <w:numId w:val="2"/>
        </w:numPr>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Amsterdam 750 jaar (21 Juni)</w:t>
      </w: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Verschillende partijen hebben gesproken rondom de input vanuit het Amsterdam UMC voor de vieringen van Amsterdam 750 jaar. Hierbij zijn vanuit de faculteit verschillende initiatieven naar voren gekomen. Allereerst willen student assistenten van de VU graag een vergrootte ‘Dokter Bibber spel’ opstellen. De studenten die meehelpen zouden een financiële vergoeding voor hun hulp ontvangen. De IFMSA heeft voorgesteld een ‘Teddybear hospital’ actie te organiseren, zoals vaker plaatsvindt op het Voetenplein. Hiervoor zouden studenten op vrijwillige basis aan meehelpen. De FSR heeft aangekaart dat de financiële vergoeding ofwel rechtgetrokken zou moeten worden, ofwel dat studenten die op vrijwillige basis helpen niet de gehele dag blijven staan. Suzanne Geerlings zal hier verder naar kijken binnen de projectgroep. </w:t>
      </w:r>
    </w:p>
    <w:p w:rsidR="00000000" w:rsidDel="00000000" w:rsidP="00000000" w:rsidRDefault="00000000" w:rsidRPr="00000000" w14:paraId="00000023">
      <w:pP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numPr>
          <w:ilvl w:val="0"/>
          <w:numId w:val="2"/>
        </w:numPr>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Studentenparticipatie vanuit Green Team faculteit</w:t>
      </w:r>
      <w:r w:rsidDel="00000000" w:rsidR="00000000" w:rsidRPr="00000000">
        <w:rPr>
          <w:rtl w:val="0"/>
        </w:rPr>
      </w:r>
    </w:p>
    <w:p w:rsidR="00000000" w:rsidDel="00000000" w:rsidP="00000000" w:rsidRDefault="00000000" w:rsidRPr="00000000" w14:paraId="00000025">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 bestaat een Green Team vanuit de faculteit, waarbij onder anderen Suzanne Geerlings, enkele docenten en enkele studenten van de IFMSA zijn betrokken. Er is echter gebleken dat de studenten vaak in het buitenland zijn, waardoor de input minder is dan gewild vanuit het team. Suzanne Geerlings vraagt dus of een FSR-lid het leuk zou vinden om hier structureel bij aan te sluiten. Deze overleggen zijn maandelijks 1 uur. De FSR zal dit opbrengen op haar plenaire vergadering en zorgen dat er een afgevaardigde wordt aangesteld. </w:t>
      </w:r>
    </w:p>
    <w:p w:rsidR="00000000" w:rsidDel="00000000" w:rsidP="00000000" w:rsidRDefault="00000000" w:rsidRPr="00000000" w14:paraId="00000026">
      <w:pPr>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numPr>
          <w:ilvl w:val="0"/>
          <w:numId w:val="2"/>
        </w:numPr>
        <w:ind w:left="567" w:hanging="567"/>
        <w:rPr>
          <w:b w:val="1"/>
          <w:sz w:val="20"/>
          <w:szCs w:val="20"/>
          <w:u w:val="none"/>
        </w:rPr>
      </w:pPr>
      <w:r w:rsidDel="00000000" w:rsidR="00000000" w:rsidRPr="00000000">
        <w:rPr>
          <w:b w:val="1"/>
          <w:sz w:val="20"/>
          <w:szCs w:val="20"/>
          <w:rtl w:val="0"/>
        </w:rPr>
        <w:t xml:space="preserve"> Honours</w:t>
      </w:r>
      <w:r w:rsidDel="00000000" w:rsidR="00000000" w:rsidRPr="00000000">
        <w:rPr>
          <w:rtl w:val="0"/>
        </w:rPr>
      </w:r>
    </w:p>
    <w:p w:rsidR="00000000" w:rsidDel="00000000" w:rsidP="00000000" w:rsidRDefault="00000000" w:rsidRPr="00000000" w14:paraId="00000028">
      <w:pPr>
        <w:ind w:firstLine="0"/>
        <w:rPr>
          <w:sz w:val="20"/>
          <w:szCs w:val="20"/>
        </w:rPr>
      </w:pPr>
      <w:r w:rsidDel="00000000" w:rsidR="00000000" w:rsidRPr="00000000">
        <w:rPr>
          <w:sz w:val="20"/>
          <w:szCs w:val="20"/>
          <w:rtl w:val="0"/>
        </w:rPr>
        <w:t xml:space="preserve">Vanuit Medische Informatiekunde wordt een honourstraject opgezet. Hierbij wordt in het kader van GEN+MI=3 gekeken naar mogelijkheden om overlappende vakken aan te bieden aan honoursstudenten vanuit Geneeskunde en MI. Zo zou bijvoorbeeld het vak 'Entrepreneurship' wellicht interessant voor beiden zijn. De FSR is enthousiast en adviseert hier verder naar te kijken. </w:t>
      </w:r>
    </w:p>
    <w:p w:rsidR="00000000" w:rsidDel="00000000" w:rsidP="00000000" w:rsidRDefault="00000000" w:rsidRPr="00000000" w14:paraId="00000029">
      <w:pPr>
        <w:ind w:firstLine="0"/>
        <w:rPr>
          <w:sz w:val="20"/>
          <w:szCs w:val="20"/>
        </w:rPr>
      </w:pPr>
      <w:r w:rsidDel="00000000" w:rsidR="00000000" w:rsidRPr="00000000">
        <w:rPr>
          <w:rtl w:val="0"/>
        </w:rPr>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WVTTK</w:t>
        <w:tab/>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Geen WVTTK</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rtl w:val="0"/>
        </w:rPr>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Rondvraag</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sz w:val="20"/>
          <w:szCs w:val="20"/>
          <w:rtl w:val="0"/>
        </w:rPr>
        <w:t xml:space="preserve">Geen rondvragen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sz w:val="20"/>
          <w:szCs w:val="20"/>
        </w:rPr>
      </w:pPr>
      <w:r w:rsidDel="00000000" w:rsidR="00000000" w:rsidRPr="00000000">
        <w:rPr>
          <w:rtl w:val="0"/>
        </w:rPr>
      </w:r>
    </w:p>
    <w:p w:rsidR="00000000" w:rsidDel="00000000" w:rsidP="00000000" w:rsidRDefault="00000000" w:rsidRPr="00000000" w14:paraId="00000030">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Actiepunten</w:t>
      </w:r>
      <w:r w:rsidDel="00000000" w:rsidR="00000000" w:rsidRPr="00000000">
        <w:rPr>
          <w:rtl w:val="0"/>
        </w:rPr>
      </w:r>
    </w:p>
    <w:sdt>
      <w:sdtPr>
        <w:lock w:val="contentLocked"/>
        <w:tag w:val="goog_rdk_1"/>
      </w:sdtPr>
      <w:sdtContent>
        <w:tbl>
          <w:tblPr>
            <w:tblStyle w:val="Table2"/>
            <w:tblW w:w="10200.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8115"/>
            <w:tblGridChange w:id="0">
              <w:tblGrid>
                <w:gridCol w:w="2085"/>
                <w:gridCol w:w="8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ind w:firstLine="0"/>
                  <w:rPr>
                    <w:b w:val="1"/>
                    <w:sz w:val="20"/>
                    <w:szCs w:val="20"/>
                  </w:rPr>
                </w:pPr>
                <w:r w:rsidDel="00000000" w:rsidR="00000000" w:rsidRPr="00000000">
                  <w:rPr>
                    <w:b w:val="1"/>
                    <w:sz w:val="20"/>
                    <w:szCs w:val="20"/>
                    <w:rtl w:val="0"/>
                  </w:rPr>
                  <w:t xml:space="preserve">Suzanne Geerlings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firstLine="0"/>
                  <w:rPr>
                    <w:sz w:val="20"/>
                    <w:szCs w:val="20"/>
                  </w:rPr>
                </w:pPr>
                <w:r w:rsidDel="00000000" w:rsidR="00000000" w:rsidRPr="00000000">
                  <w:rPr>
                    <w:sz w:val="20"/>
                    <w:szCs w:val="20"/>
                    <w:rtl w:val="0"/>
                  </w:rPr>
                  <w:t xml:space="preserve">Bekijkt welke vergoedingsstructuur passend is voor Amsterdam 750 jaar vrijwilligers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firstLine="0"/>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“Hot moments” bespreken</w:t>
                </w:r>
              </w:p>
              <w:p w:rsidR="00000000" w:rsidDel="00000000" w:rsidP="00000000" w:rsidRDefault="00000000" w:rsidRPr="00000000" w14:paraId="00000035">
                <w:pPr>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Een afgevaardigde naar het Gream Team sturen </w:t>
                </w:r>
              </w:p>
            </w:tc>
          </w:tr>
        </w:tbl>
      </w:sdtContent>
    </w:sdt>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b w:val="1"/>
          <w:sz w:val="20"/>
          <w:szCs w:val="20"/>
          <w:rtl w:val="0"/>
        </w:rPr>
        <w:tab/>
        <w:tab/>
        <w:tab/>
        <w:tab/>
        <w:tab/>
        <w:tab/>
        <w:tab/>
        <w:tab/>
        <w:tab/>
        <w:tab/>
        <w:tab/>
        <w:tab/>
      </w:r>
      <w:r w:rsidDel="00000000" w:rsidR="00000000" w:rsidRPr="00000000">
        <w:rPr>
          <w:rtl w:val="0"/>
        </w:rPr>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Einde vergadering</w:t>
        <w:tab/>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ab/>
        <w:tab/>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A">
      <w:pPr>
        <w:pageBreakBefore w:val="0"/>
        <w:spacing w:line="259" w:lineRule="auto"/>
        <w:ind w:firstLine="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1104900</wp:posOffset>
            </wp:positionV>
            <wp:extent cx="4873988" cy="624522"/>
            <wp:effectExtent b="0" l="0" r="0" t="0"/>
            <wp:wrapSquare wrapText="bothSides" distB="114300" distT="114300" distL="114300" distR="114300"/>
            <wp:docPr id="9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873988" cy="624522"/>
                    </a:xfrm>
                    <a:prstGeom prst="rect"/>
                    <a:ln/>
                  </pic:spPr>
                </pic:pic>
              </a:graphicData>
            </a:graphic>
          </wp:anchor>
        </w:drawing>
      </w:r>
    </w:p>
    <w:sectPr>
      <w:headerReference r:id="rId8" w:type="default"/>
      <w:headerReference r:id="rId9" w:type="first"/>
      <w:footerReference r:id="rId10" w:type="default"/>
      <w:footerReference r:id="rId11" w:type="first"/>
      <w:pgSz w:h="16838" w:w="11906" w:orient="portrait"/>
      <w:pgMar w:bottom="566.9291338582677" w:top="566.9291338582677" w:left="566.9291338582677" w:right="566.92913385826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jc w:val="right"/>
      <w:rPr>
        <w:rFonts w:ascii="Cambria" w:cs="Cambria" w:eastAsia="Cambria" w:hAnsi="Cambria"/>
        <w:b w:val="0"/>
        <w:sz w:val="19"/>
        <w:szCs w:val="19"/>
      </w:rPr>
    </w:pPr>
    <w:r w:rsidDel="00000000" w:rsidR="00000000" w:rsidRPr="00000000">
      <w:rPr>
        <w:rFonts w:ascii="Cambria" w:cs="Cambria" w:eastAsia="Cambria" w:hAnsi="Cambria"/>
        <w:b w:val="0"/>
        <w:sz w:val="19"/>
        <w:szCs w:val="19"/>
      </w:rPr>
      <w:drawing>
        <wp:inline distB="0" distT="0" distL="114935" distR="114935">
          <wp:extent cx="360680" cy="355600"/>
          <wp:effectExtent b="0" l="0" r="0" t="0"/>
          <wp:docPr id="8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60680" cy="355600"/>
                  </a:xfrm>
                  <a:prstGeom prst="rect"/>
                  <a:ln/>
                </pic:spPr>
              </pic:pic>
            </a:graphicData>
          </a:graphic>
        </wp:inline>
      </w:drawing>
    </w:r>
    <w:r w:rsidDel="00000000" w:rsidR="00000000" w:rsidRPr="00000000">
      <w:rPr>
        <w:rFonts w:ascii="Cambria" w:cs="Cambria" w:eastAsia="Cambria" w:hAnsi="Cambria"/>
        <w:b w:val="0"/>
        <w:sz w:val="19"/>
        <w:szCs w:val="19"/>
        <w:rtl w:val="0"/>
      </w:rPr>
      <w:t xml:space="preserve">Pagina </w:t>
    </w:r>
    <w:r w:rsidDel="00000000" w:rsidR="00000000" w:rsidRPr="00000000">
      <w:rPr>
        <w:rFonts w:ascii="Cambria" w:cs="Cambria" w:eastAsia="Cambria" w:hAnsi="Cambria"/>
        <w:b w:val="0"/>
        <w:sz w:val="19"/>
        <w:szCs w:val="19"/>
      </w:rPr>
      <w:fldChar w:fldCharType="begin"/>
      <w:instrText xml:space="preserve">PAGE</w:instrText>
      <w:fldChar w:fldCharType="separate"/>
      <w:fldChar w:fldCharType="end"/>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1"/>
        <w:color w:val="007c32"/>
        <w:sz w:val="19"/>
        <w:szCs w:val="19"/>
        <w:rtl w:val="0"/>
      </w:rPr>
      <w:t xml:space="preserve">~</w:t>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0"/>
        <w:sz w:val="19"/>
        <w:szCs w:val="19"/>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rPr/>
    </w:pPr>
    <w:r w:rsidDel="00000000" w:rsidR="00000000" w:rsidRPr="00000000">
      <w:rPr>
        <w:rFonts w:ascii="Cambria" w:cs="Cambria" w:eastAsia="Cambria" w:hAnsi="Cambria"/>
        <w:b w:val="0"/>
        <w:sz w:val="19"/>
        <w:szCs w:val="19"/>
        <w:rtl w:val="0"/>
      </w:rPr>
      <w:tab/>
      <w:tab/>
    </w:r>
    <w:r w:rsidDel="00000000" w:rsidR="00000000" w:rsidRPr="00000000">
      <w:rPr>
        <w:rtl w:val="0"/>
      </w:rPr>
      <w:t xml:space="preserve">                                                                                                               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b w:val="1"/>
        <w:color w:val="007c32"/>
        <w:rtl w:val="0"/>
      </w:rPr>
      <w:t xml:space="preserve">~</w:t>
    </w:r>
    <w:r w:rsidDel="00000000" w:rsidR="00000000" w:rsidRPr="00000000">
      <w:rPr>
        <w:rtl w:val="0"/>
      </w:rPr>
      <w:t xml:space="preserv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leader="none" w:pos="6400"/>
      </w:tabs>
      <w:spacing w:after="0" w:before="822" w:line="240" w:lineRule="auto"/>
      <w:ind w:right="1701" w:firstLine="0"/>
      <w:jc w:val="right"/>
      <w:rPr>
        <w:rFonts w:ascii="Cambria" w:cs="Cambria" w:eastAsia="Cambria" w:hAnsi="Cambria"/>
        <w:b w:val="0"/>
        <w:color w:val="007c32"/>
        <w:sz w:val="14"/>
        <w:szCs w:val="14"/>
      </w:rPr>
    </w:pPr>
    <w:r w:rsidDel="00000000" w:rsidR="00000000" w:rsidRPr="00000000">
      <w:rPr>
        <w:rFonts w:ascii="Cambria" w:cs="Cambria" w:eastAsia="Cambria" w:hAnsi="Cambria"/>
        <w:b w:val="0"/>
        <w:sz w:val="14"/>
        <w:szCs w:val="14"/>
      </w:rPr>
      <mc:AlternateContent>
        <mc:Choice Requires="wpg">
          <w:drawing>
            <wp:inline distB="0" distT="0" distL="114300" distR="114300">
              <wp:extent cx="6604000" cy="177800"/>
              <wp:effectExtent b="0" l="0" r="0" t="0"/>
              <wp:docPr id="86" name=""/>
              <a:graphic>
                <a:graphicData uri="http://schemas.microsoft.com/office/word/2010/wordprocessingShape">
                  <wps:wsp>
                    <wps:cNvSpPr/>
                    <wps:cNvPr id="3" name="Shape 3"/>
                    <wps:spPr>
                      <a:xfrm>
                        <a:off x="2100515" y="3753013"/>
                        <a:ext cx="6490970" cy="53975"/>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604000" cy="177800"/>
              <wp:effectExtent b="0" l="0" r="0" t="0"/>
              <wp:docPr id="8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604000" cy="177800"/>
                      </a:xfrm>
                      <a:prstGeom prst="rect"/>
                      <a:ln/>
                    </pic:spPr>
                  </pic:pic>
                </a:graphicData>
              </a:graphic>
            </wp:inline>
          </w:drawing>
        </mc:Fallback>
      </mc:AlternateContent>
    </w:r>
    <w:r w:rsidDel="00000000" w:rsidR="00000000" w:rsidRPr="00000000">
      <w:rPr>
        <w:rFonts w:ascii="Cambria" w:cs="Cambria" w:eastAsia="Cambria" w:hAnsi="Cambria"/>
        <w:b w:val="0"/>
        <w:color w:val="007c32"/>
        <w:sz w:val="14"/>
        <w:szCs w:val="14"/>
        <w:rtl w:val="0"/>
      </w:rPr>
      <w:tab/>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leader="none" w:pos="6400"/>
      </w:tabs>
      <w:spacing w:after="0" w:before="0" w:line="240" w:lineRule="auto"/>
      <w:ind w:right="1701"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822" w:line="240" w:lineRule="auto"/>
      <w:ind w:right="1701" w:firstLine="0"/>
      <w:jc w:val="right"/>
      <w:rPr/>
    </w:pPr>
    <w:r w:rsidDel="00000000" w:rsidR="00000000" w:rsidRPr="00000000">
      <w:rPr>
        <w:rFonts w:ascii="Cambria" w:cs="Cambria" w:eastAsia="Cambria" w:hAnsi="Cambria"/>
        <w:b w:val="0"/>
        <w:sz w:val="14"/>
        <w:szCs w:val="14"/>
      </w:rPr>
      <w:drawing>
        <wp:inline distB="180340" distT="0" distL="114300" distR="114300">
          <wp:extent cx="3366135" cy="800735"/>
          <wp:effectExtent b="0" l="0" r="0" t="0"/>
          <wp:docPr descr="Macintosh HD:Users:Bas:Dropbox:Werk:Klanten:Studentenraad:SR Templates (Working):01 Algemene bestanden:01 Logos:Beeld- en tekstmerk (horizontaal):Beeld- en woordmerk (horizontaal)-08.png" id="90" name="image2.png"/>
          <a:graphic>
            <a:graphicData uri="http://schemas.openxmlformats.org/drawingml/2006/picture">
              <pic:pic>
                <pic:nvPicPr>
                  <pic:cNvPr descr="Macintosh HD:Users:Bas:Dropbox:Werk:Klanten:Studentenraad:SR Templates (Working):01 Algemene bestanden:01 Logos:Beeld- en tekstmerk (horizontaal):Beeld- en woordmerk (horizontaal)-08.png" id="0" name="image2.png"/>
                  <pic:cNvPicPr preferRelativeResize="0"/>
                </pic:nvPicPr>
                <pic:blipFill>
                  <a:blip r:embed="rId1"/>
                  <a:srcRect b="0" l="0" r="0" t="0"/>
                  <a:stretch>
                    <a:fillRect/>
                  </a:stretch>
                </pic:blipFill>
                <pic:spPr>
                  <a:xfrm>
                    <a:off x="0" y="0"/>
                    <a:ext cx="3366135" cy="800735"/>
                  </a:xfrm>
                  <a:prstGeom prst="rect"/>
                  <a:ln/>
                </pic:spPr>
              </pic:pic>
            </a:graphicData>
          </a:graphic>
        </wp:inline>
      </w:drawing>
    </w:r>
    <w:r w:rsidDel="00000000" w:rsidR="00000000" w:rsidRPr="00000000">
      <w:rPr>
        <w:rFonts w:ascii="Cambria" w:cs="Cambria" w:eastAsia="Cambria" w:hAnsi="Cambria"/>
        <w:b w:val="0"/>
        <w:sz w:val="14"/>
        <w:szCs w:val="14"/>
      </w:rPr>
      <mc:AlternateContent>
        <mc:Choice Requires="wpg">
          <w:drawing>
            <wp:inline distB="0" distT="0" distL="114300" distR="114300">
              <wp:extent cx="2286000" cy="1046544"/>
              <wp:effectExtent b="0" l="0" r="0" t="0"/>
              <wp:docPr id="85" name=""/>
              <a:graphic>
                <a:graphicData uri="http://schemas.microsoft.com/office/word/2010/wordprocessingShape">
                  <wps:wsp>
                    <wps:cNvSpPr/>
                    <wps:cNvPr id="2" name="Shape 2"/>
                    <wps:spPr>
                      <a:xfrm>
                        <a:off x="4262690" y="3314545"/>
                        <a:ext cx="2166620" cy="930910"/>
                      </a:xfrm>
                      <a:prstGeom prst="rect">
                        <a:avLst/>
                      </a:prstGeom>
                      <a:noFill/>
                      <a:ln>
                        <a:noFill/>
                      </a:ln>
                    </wps:spPr>
                    <wps:txbx>
                      <w:txbxContent>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t xml:space="preserve">Meibergdreef 15</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1105 AZ Amsterdam</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(020) 56 68 666</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studentenraad@amsterdamumc.nl</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studentenraad.nl/geneeskunde</w:t>
                          </w:r>
                        </w:p>
                      </w:txbxContent>
                    </wps:txbx>
                    <wps:bodyPr anchorCtr="0" anchor="t" bIns="91425" lIns="91425" spcFirstLastPara="1" rIns="91425" wrap="square" tIns="91425">
                      <a:noAutofit/>
                    </wps:bodyPr>
                  </wps:wsp>
                </a:graphicData>
              </a:graphic>
            </wp:inline>
          </w:drawing>
        </mc:Choice>
        <mc:Fallback>
          <w:drawing>
            <wp:inline distB="0" distT="0" distL="114300" distR="114300">
              <wp:extent cx="2286000" cy="1046544"/>
              <wp:effectExtent b="0" l="0" r="0" t="0"/>
              <wp:docPr id="8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86000" cy="1046544"/>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2667000" cy="368300"/>
              <wp:effectExtent b="0" l="0" r="0" t="0"/>
              <wp:docPr id="88" name=""/>
              <a:graphic>
                <a:graphicData uri="http://schemas.microsoft.com/office/word/2010/wordprocessingShape">
                  <wps:wsp>
                    <wps:cNvSpPr/>
                    <wps:cNvPr id="5" name="Shape 5"/>
                    <wps:spPr>
                      <a:xfrm>
                        <a:off x="4073460" y="3653000"/>
                        <a:ext cx="254508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667000" cy="368300"/>
              <wp:effectExtent b="0" l="0" r="0" t="0"/>
              <wp:docPr id="88"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667000" cy="368300"/>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5626100" cy="203200"/>
              <wp:effectExtent b="0" l="0" r="0" t="0"/>
              <wp:docPr id="87" name=""/>
              <a:graphic>
                <a:graphicData uri="http://schemas.microsoft.com/office/word/2010/wordprocessingShape">
                  <wps:wsp>
                    <wps:cNvSpPr/>
                    <wps:cNvPr id="4" name="Shape 4"/>
                    <wps:spPr>
                      <a:xfrm>
                        <a:off x="2592005" y="3734915"/>
                        <a:ext cx="5507990" cy="90170"/>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626100" cy="203200"/>
              <wp:effectExtent b="0" l="0" r="0" t="0"/>
              <wp:docPr id="8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626100" cy="2032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567" w:hanging="567"/>
      </w:pPr>
      <w:rPr>
        <w:rFonts w:ascii="Arial" w:cs="Arial" w:eastAsia="Arial" w:hAnsi="Arial"/>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19"/>
        <w:szCs w:val="19"/>
        <w:lang w:val="nl"/>
      </w:rPr>
    </w:rPrDefault>
    <w:pPrDefault>
      <w:pPr>
        <w:spacing w:line="300" w:lineRule="auto"/>
        <w:ind w:firstLine="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lIQywtYgBo1Nr2VUAafMvbtDA==">CgMxLjAaHwoBMBIaChgICVIUChJ0YWJsZS51cnA5cnE2NHlvajQaHwoBMRIaChgICVIUChJ0YWJsZS41ZTQ2dWlwdTluY2QyCGguZ2pkZ3hzOAByITEtMmVxcHFTcll6Q3BTNGR3QTQ2eVVxUGlvNGU2Rjk4Zg==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